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63F" w:rsidRDefault="004F163F" w:rsidP="004A51A7">
      <w:pPr>
        <w:pBdr>
          <w:bottom w:val="single" w:sz="6" w:space="1" w:color="auto"/>
        </w:pBdr>
        <w:tabs>
          <w:tab w:val="center" w:pos="4536"/>
          <w:tab w:val="right" w:pos="9072"/>
        </w:tabs>
        <w:spacing w:after="160" w:line="259" w:lineRule="auto"/>
        <w:rPr>
          <w:rFonts w:ascii="Calibri" w:eastAsia="Calibri" w:hAnsi="Calibri" w:cs="Times New Roman"/>
          <w:sz w:val="10"/>
          <w:szCs w:val="10"/>
          <w:lang w:eastAsia="bg-BG"/>
        </w:rPr>
      </w:pPr>
      <w:r>
        <w:rPr>
          <w:rFonts w:ascii="Calibri" w:eastAsia="Calibri" w:hAnsi="Calibri" w:cs="Times New Roman"/>
          <w:noProof/>
          <w:sz w:val="10"/>
          <w:szCs w:val="10"/>
          <w:lang w:eastAsia="bg-BG"/>
        </w:rPr>
        <w:drawing>
          <wp:anchor distT="0" distB="0" distL="114300" distR="114300" simplePos="0" relativeHeight="251659264" behindDoc="1" locked="0" layoutInCell="1" allowOverlap="1">
            <wp:simplePos x="0" y="0"/>
            <wp:positionH relativeFrom="column">
              <wp:posOffset>6350</wp:posOffset>
            </wp:positionH>
            <wp:positionV relativeFrom="paragraph">
              <wp:posOffset>-640715</wp:posOffset>
            </wp:positionV>
            <wp:extent cx="681355" cy="654685"/>
            <wp:effectExtent l="19050" t="0" r="4445" b="0"/>
            <wp:wrapTight wrapText="bothSides">
              <wp:wrapPolygon edited="0">
                <wp:start x="-604" y="0"/>
                <wp:lineTo x="-604" y="20741"/>
                <wp:lineTo x="21741" y="20741"/>
                <wp:lineTo x="21741" y="0"/>
                <wp:lineTo x="-604" y="0"/>
              </wp:wrapPolygon>
            </wp:wrapTight>
            <wp:docPr id="596" name="Картина 2" descr="log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es"/>
                    <pic:cNvPicPr>
                      <a:picLocks noChangeAspect="1" noChangeArrowheads="1"/>
                    </pic:cNvPicPr>
                  </pic:nvPicPr>
                  <pic:blipFill>
                    <a:blip r:embed="rId5" cstate="print"/>
                    <a:srcRect/>
                    <a:stretch>
                      <a:fillRect/>
                    </a:stretch>
                  </pic:blipFill>
                  <pic:spPr bwMode="auto">
                    <a:xfrm>
                      <a:off x="0" y="0"/>
                      <a:ext cx="681355" cy="654685"/>
                    </a:xfrm>
                    <a:prstGeom prst="rect">
                      <a:avLst/>
                    </a:prstGeom>
                    <a:noFill/>
                  </pic:spPr>
                </pic:pic>
              </a:graphicData>
            </a:graphic>
          </wp:anchor>
        </w:drawing>
      </w:r>
      <w:r>
        <w:rPr>
          <w:rFonts w:ascii="Calibri" w:eastAsia="Calibri" w:hAnsi="Calibri" w:cs="Times New Roman"/>
          <w:noProof/>
          <w:sz w:val="10"/>
          <w:szCs w:val="10"/>
          <w:lang w:eastAsia="bg-BG"/>
        </w:rPr>
        <w:drawing>
          <wp:anchor distT="0" distB="0" distL="114300" distR="114300" simplePos="0" relativeHeight="251661312" behindDoc="1" locked="0" layoutInCell="1" allowOverlap="1">
            <wp:simplePos x="0" y="0"/>
            <wp:positionH relativeFrom="column">
              <wp:posOffset>1411605</wp:posOffset>
            </wp:positionH>
            <wp:positionV relativeFrom="paragraph">
              <wp:posOffset>-640715</wp:posOffset>
            </wp:positionV>
            <wp:extent cx="976630" cy="545465"/>
            <wp:effectExtent l="19050" t="0" r="0" b="0"/>
            <wp:wrapTight wrapText="bothSides">
              <wp:wrapPolygon edited="0">
                <wp:start x="-421" y="0"/>
                <wp:lineTo x="-421" y="21122"/>
                <wp:lineTo x="21488" y="21122"/>
                <wp:lineTo x="21488" y="0"/>
                <wp:lineTo x="-421" y="0"/>
              </wp:wrapPolygon>
            </wp:wrapTight>
            <wp:docPr id="59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cstate="print"/>
                    <a:srcRect/>
                    <a:stretch>
                      <a:fillRect/>
                    </a:stretch>
                  </pic:blipFill>
                  <pic:spPr bwMode="auto">
                    <a:xfrm>
                      <a:off x="0" y="0"/>
                      <a:ext cx="976630" cy="545465"/>
                    </a:xfrm>
                    <a:prstGeom prst="rect">
                      <a:avLst/>
                    </a:prstGeom>
                    <a:noFill/>
                  </pic:spPr>
                </pic:pic>
              </a:graphicData>
            </a:graphic>
          </wp:anchor>
        </w:drawing>
      </w:r>
      <w:r>
        <w:rPr>
          <w:rFonts w:ascii="Calibri" w:eastAsia="Calibri" w:hAnsi="Calibri" w:cs="Times New Roman"/>
          <w:noProof/>
          <w:sz w:val="10"/>
          <w:szCs w:val="10"/>
          <w:lang w:eastAsia="bg-BG"/>
        </w:rPr>
        <w:drawing>
          <wp:anchor distT="0" distB="0" distL="114300" distR="114300" simplePos="0" relativeHeight="251663360" behindDoc="1" locked="0" layoutInCell="1" allowOverlap="1">
            <wp:simplePos x="0" y="0"/>
            <wp:positionH relativeFrom="column">
              <wp:posOffset>3254375</wp:posOffset>
            </wp:positionH>
            <wp:positionV relativeFrom="paragraph">
              <wp:posOffset>-640715</wp:posOffset>
            </wp:positionV>
            <wp:extent cx="844550" cy="545465"/>
            <wp:effectExtent l="19050" t="0" r="0" b="0"/>
            <wp:wrapTight wrapText="bothSides">
              <wp:wrapPolygon edited="0">
                <wp:start x="-487" y="0"/>
                <wp:lineTo x="-487" y="21122"/>
                <wp:lineTo x="21438" y="21122"/>
                <wp:lineTo x="21438" y="0"/>
                <wp:lineTo x="-487" y="0"/>
              </wp:wrapPolygon>
            </wp:wrapTight>
            <wp:docPr id="59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cstate="print"/>
                    <a:srcRect/>
                    <a:stretch>
                      <a:fillRect/>
                    </a:stretch>
                  </pic:blipFill>
                  <pic:spPr bwMode="auto">
                    <a:xfrm>
                      <a:off x="0" y="0"/>
                      <a:ext cx="844550" cy="545465"/>
                    </a:xfrm>
                    <a:prstGeom prst="rect">
                      <a:avLst/>
                    </a:prstGeom>
                    <a:noFill/>
                  </pic:spPr>
                </pic:pic>
              </a:graphicData>
            </a:graphic>
          </wp:anchor>
        </w:drawing>
      </w:r>
      <w:r>
        <w:rPr>
          <w:rFonts w:ascii="Calibri" w:eastAsia="Calibri" w:hAnsi="Calibri" w:cs="Times New Roman"/>
          <w:noProof/>
          <w:sz w:val="10"/>
          <w:szCs w:val="10"/>
          <w:lang w:eastAsia="bg-BG"/>
        </w:rPr>
        <w:drawing>
          <wp:anchor distT="0" distB="0" distL="114300" distR="114300" simplePos="0" relativeHeight="251669504" behindDoc="1" locked="0" layoutInCell="1" allowOverlap="1">
            <wp:simplePos x="0" y="0"/>
            <wp:positionH relativeFrom="column">
              <wp:posOffset>4974145</wp:posOffset>
            </wp:positionH>
            <wp:positionV relativeFrom="paragraph">
              <wp:posOffset>-640488</wp:posOffset>
            </wp:positionV>
            <wp:extent cx="813463" cy="545911"/>
            <wp:effectExtent l="19050" t="0" r="5687" b="0"/>
            <wp:wrapNone/>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srcRect/>
                    <a:stretch>
                      <a:fillRect/>
                    </a:stretch>
                  </pic:blipFill>
                  <pic:spPr bwMode="auto">
                    <a:xfrm>
                      <a:off x="0" y="0"/>
                      <a:ext cx="813463" cy="545911"/>
                    </a:xfrm>
                    <a:prstGeom prst="rect">
                      <a:avLst/>
                    </a:prstGeom>
                    <a:noFill/>
                  </pic:spPr>
                </pic:pic>
              </a:graphicData>
            </a:graphic>
          </wp:anchor>
        </w:drawing>
      </w:r>
    </w:p>
    <w:p w:rsidR="004F163F" w:rsidRPr="001C6269" w:rsidRDefault="004F163F" w:rsidP="004F163F">
      <w:pPr>
        <w:spacing w:after="0" w:line="240" w:lineRule="auto"/>
        <w:jc w:val="center"/>
        <w:rPr>
          <w:b/>
        </w:rPr>
      </w:pPr>
      <w:r w:rsidRPr="001C6269">
        <w:rPr>
          <w:b/>
        </w:rPr>
        <w:t>ПРОГРАМА ЗА РАЗВИТИЕ НА СЕЛСКИТЕ РАЙОНИ 2014–2020г.</w:t>
      </w:r>
    </w:p>
    <w:p w:rsidR="004F163F" w:rsidRPr="001C6269" w:rsidRDefault="004F163F" w:rsidP="004F163F">
      <w:pPr>
        <w:pStyle w:val="a5"/>
        <w:jc w:val="center"/>
      </w:pPr>
      <w:r w:rsidRPr="001C6269">
        <w:rPr>
          <w:b/>
          <w:bCs/>
          <w:sz w:val="18"/>
        </w:rPr>
        <w:t>Европейски земеделски фонд за развитие на селските райони: Европа инвестира в селските райони</w:t>
      </w:r>
    </w:p>
    <w:p w:rsidR="004F163F" w:rsidRDefault="004F163F" w:rsidP="004F163F">
      <w:pPr>
        <w:pBdr>
          <w:bottom w:val="single" w:sz="6" w:space="1" w:color="auto"/>
        </w:pBdr>
        <w:tabs>
          <w:tab w:val="center" w:pos="4536"/>
          <w:tab w:val="right" w:pos="9072"/>
        </w:tabs>
        <w:spacing w:after="160" w:line="259" w:lineRule="auto"/>
        <w:jc w:val="center"/>
        <w:rPr>
          <w:rFonts w:ascii="Calibri" w:eastAsia="Calibri" w:hAnsi="Calibri" w:cs="Times New Roman"/>
          <w:sz w:val="10"/>
          <w:szCs w:val="10"/>
          <w:lang w:eastAsia="bg-BG"/>
        </w:rPr>
      </w:pPr>
    </w:p>
    <w:p w:rsidR="00B45181" w:rsidRDefault="00B45181" w:rsidP="004F163F">
      <w:pPr>
        <w:widowControl w:val="0"/>
        <w:autoSpaceDE w:val="0"/>
        <w:autoSpaceDN w:val="0"/>
        <w:adjustRightInd w:val="0"/>
        <w:spacing w:after="0" w:line="240" w:lineRule="auto"/>
        <w:jc w:val="center"/>
        <w:rPr>
          <w:rFonts w:ascii="Times New Roman" w:hAnsi="Times New Roman" w:cs="Times New Roman"/>
          <w:b/>
          <w:sz w:val="24"/>
          <w:szCs w:val="24"/>
        </w:rPr>
      </w:pPr>
    </w:p>
    <w:p w:rsidR="004F163F" w:rsidRDefault="004F163F" w:rsidP="004F163F">
      <w:pPr>
        <w:widowControl w:val="0"/>
        <w:autoSpaceDE w:val="0"/>
        <w:autoSpaceDN w:val="0"/>
        <w:adjustRightInd w:val="0"/>
        <w:spacing w:after="0" w:line="240" w:lineRule="auto"/>
        <w:jc w:val="center"/>
        <w:rPr>
          <w:rFonts w:ascii="Times New Roman" w:hAnsi="Times New Roman" w:cs="Times New Roman"/>
          <w:b/>
          <w:sz w:val="24"/>
          <w:szCs w:val="24"/>
        </w:rPr>
      </w:pPr>
    </w:p>
    <w:p w:rsidR="00B45181" w:rsidRDefault="00B45181" w:rsidP="004F163F">
      <w:pPr>
        <w:widowControl w:val="0"/>
        <w:autoSpaceDE w:val="0"/>
        <w:autoSpaceDN w:val="0"/>
        <w:adjustRightInd w:val="0"/>
        <w:spacing w:after="0" w:line="240" w:lineRule="auto"/>
        <w:jc w:val="center"/>
        <w:rPr>
          <w:rFonts w:ascii="Times New Roman" w:hAnsi="Times New Roman" w:cs="Times New Roman"/>
          <w:b/>
          <w:sz w:val="24"/>
          <w:szCs w:val="24"/>
        </w:rPr>
      </w:pPr>
    </w:p>
    <w:p w:rsidR="00B45181" w:rsidRDefault="00851F2F" w:rsidP="00B45181">
      <w:pPr>
        <w:widowControl w:val="0"/>
        <w:autoSpaceDE w:val="0"/>
        <w:autoSpaceDN w:val="0"/>
        <w:adjustRightInd w:val="0"/>
        <w:spacing w:after="0" w:line="240" w:lineRule="auto"/>
        <w:jc w:val="right"/>
        <w:rPr>
          <w:rFonts w:ascii="Times New Roman" w:hAnsi="Times New Roman" w:cs="Times New Roman"/>
          <w:b/>
          <w:sz w:val="24"/>
          <w:szCs w:val="24"/>
        </w:rPr>
      </w:pPr>
      <w:bookmarkStart w:id="0" w:name="_GoBack"/>
      <w:r w:rsidRPr="00B45181">
        <w:rPr>
          <w:rFonts w:ascii="Times New Roman" w:hAnsi="Times New Roman" w:cs="Times New Roman"/>
          <w:b/>
          <w:sz w:val="24"/>
          <w:szCs w:val="24"/>
        </w:rPr>
        <w:t xml:space="preserve">Приложение № </w:t>
      </w:r>
      <w:r w:rsidR="005F1A51">
        <w:rPr>
          <w:rFonts w:ascii="Times New Roman" w:hAnsi="Times New Roman" w:cs="Times New Roman"/>
          <w:b/>
          <w:sz w:val="24"/>
          <w:szCs w:val="24"/>
        </w:rPr>
        <w:t>1</w:t>
      </w:r>
      <w:r w:rsidR="00861E8E">
        <w:rPr>
          <w:rFonts w:ascii="Times New Roman" w:hAnsi="Times New Roman" w:cs="Times New Roman"/>
          <w:b/>
          <w:sz w:val="24"/>
          <w:szCs w:val="24"/>
        </w:rPr>
        <w:t xml:space="preserve"> </w:t>
      </w:r>
      <w:r w:rsidRPr="00B45181">
        <w:rPr>
          <w:rFonts w:ascii="Times New Roman" w:hAnsi="Times New Roman" w:cs="Times New Roman"/>
          <w:b/>
          <w:sz w:val="24"/>
          <w:szCs w:val="24"/>
        </w:rPr>
        <w:t>към Условия за кандидатстване</w:t>
      </w:r>
    </w:p>
    <w:p w:rsidR="00B45181" w:rsidRDefault="00F97204" w:rsidP="00184AD3">
      <w:pPr>
        <w:widowControl w:val="0"/>
        <w:autoSpaceDE w:val="0"/>
        <w:autoSpaceDN w:val="0"/>
        <w:adjustRightInd w:val="0"/>
        <w:spacing w:after="0" w:line="240" w:lineRule="auto"/>
        <w:jc w:val="right"/>
        <w:rPr>
          <w:rFonts w:ascii="Times New Roman" w:hAnsi="Times New Roman" w:cs="Times New Roman"/>
          <w:b/>
          <w:sz w:val="24"/>
          <w:szCs w:val="24"/>
        </w:rPr>
      </w:pPr>
      <w:r w:rsidRPr="00B45181">
        <w:rPr>
          <w:rFonts w:ascii="Times New Roman" w:hAnsi="Times New Roman" w:cs="Times New Roman"/>
          <w:b/>
          <w:bCs/>
        </w:rPr>
        <w:t>– за информация</w:t>
      </w:r>
      <w:bookmarkEnd w:id="0"/>
    </w:p>
    <w:p w:rsidR="0076171E" w:rsidRDefault="00851F2F" w:rsidP="00184AD3">
      <w:pPr>
        <w:widowControl w:val="0"/>
        <w:autoSpaceDE w:val="0"/>
        <w:autoSpaceDN w:val="0"/>
        <w:adjustRightInd w:val="0"/>
        <w:jc w:val="center"/>
        <w:rPr>
          <w:rFonts w:ascii="Times New Roman" w:hAnsi="Times New Roman" w:cs="Times New Roman"/>
          <w:b/>
          <w:sz w:val="24"/>
          <w:szCs w:val="24"/>
        </w:rPr>
      </w:pPr>
      <w:r w:rsidRPr="00851F2F">
        <w:rPr>
          <w:rFonts w:ascii="Times New Roman" w:hAnsi="Times New Roman" w:cs="Times New Roman"/>
          <w:b/>
          <w:sz w:val="24"/>
          <w:szCs w:val="24"/>
        </w:rPr>
        <w:t>ИЗПОЛЗВАНИ СЪКРАЩЕНИЯ И ОСНОВНИ ДЕФИНИЦИИ</w:t>
      </w:r>
    </w:p>
    <w:p w:rsidR="00851F2F" w:rsidRPr="00851F2F" w:rsidRDefault="00851F2F" w:rsidP="00851F2F">
      <w:pPr>
        <w:widowControl w:val="0"/>
        <w:autoSpaceDE w:val="0"/>
        <w:autoSpaceDN w:val="0"/>
        <w:adjustRightInd w:val="0"/>
        <w:jc w:val="both"/>
        <w:rPr>
          <w:rFonts w:ascii="Times New Roman" w:hAnsi="Times New Roman" w:cs="Times New Roman"/>
          <w:b/>
          <w:sz w:val="24"/>
          <w:szCs w:val="24"/>
        </w:rPr>
      </w:pPr>
      <w:r w:rsidRPr="00851F2F">
        <w:rPr>
          <w:rFonts w:ascii="Times New Roman" w:hAnsi="Times New Roman" w:cs="Times New Roman"/>
          <w:b/>
          <w:sz w:val="24"/>
          <w:szCs w:val="24"/>
        </w:rPr>
        <w:t>По смисъла на условията за кандидатстване и условията за изпълнение:</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 „Актив" е материален или нематериален актив по смисъла на Регламент (ЕС) № 651/2014 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2. „Възстановим ДДС" е ДДС, подлежащ на възстановяване от компетентен орган по приходите съгласно разпоредбите на ЗДДС, и представлява недопустим разход по тази наредба.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3. „Изкуствено създадени условия" са инвестиции,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 4. „Инвестиция" или „инвестиционни разходи" са средствата, вложени за придобиване на активи, включително услугите по придобиването им.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5. „Интензитет на помощта" е съотношението на публичното финансиране спрямо допустимите разходи по проекта, изразено в процент.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6. „Кандидат" е лице, подало проектно предложение към стратегия за ВОМР.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7. „Мярка" /</w:t>
      </w:r>
      <w:r w:rsidRPr="00851F2F">
        <w:rPr>
          <w:rStyle w:val="ldef2"/>
          <w:rFonts w:ascii="Times New Roman" w:hAnsi="Times New Roman"/>
          <w:color w:val="auto"/>
          <w:sz w:val="24"/>
          <w:szCs w:val="24"/>
        </w:rPr>
        <w:t>„Подмярка"/</w:t>
      </w:r>
      <w:r w:rsidRPr="00851F2F">
        <w:rPr>
          <w:rFonts w:ascii="Times New Roman" w:hAnsi="Times New Roman" w:cs="Times New Roman"/>
          <w:color w:val="000000"/>
          <w:sz w:val="24"/>
          <w:szCs w:val="24"/>
        </w:rPr>
        <w:t xml:space="preserve"> е съвкупност от дейности, спомагащи за прилагане приоритетите на </w:t>
      </w:r>
      <w:r>
        <w:rPr>
          <w:rFonts w:ascii="Times New Roman" w:hAnsi="Times New Roman" w:cs="Times New Roman"/>
          <w:color w:val="000000"/>
          <w:sz w:val="24"/>
          <w:szCs w:val="24"/>
        </w:rPr>
        <w:t xml:space="preserve">Стратегията за ВОМР на МИГ и/или на </w:t>
      </w:r>
      <w:r w:rsidRPr="00851F2F">
        <w:rPr>
          <w:rFonts w:ascii="Times New Roman" w:hAnsi="Times New Roman" w:cs="Times New Roman"/>
          <w:color w:val="000000"/>
          <w:sz w:val="24"/>
          <w:szCs w:val="24"/>
        </w:rPr>
        <w:t xml:space="preserve">ПРСР 2014 - 2020 г.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8. „Невъзстановим ДДС" е ДДС, неподлежащ на възстановяване от компетентен орган по приходите съгласно разпоредбите на ЗДДС, и представлява допустим разход по тази наредба.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9. „Нередност" е понятие по смисъла на чл. 2, параграф 1, т. 36 от Регламент № 1303/2013 г. 10. „Неопреодолима сила или извънредно обстоятелство" е понятие по смисъла на чл. 2, параграф 2 от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бр. 347 от 20 декември 2013 г.).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lastRenderedPageBreak/>
        <w:t xml:space="preserve">11. „Обикновена подмяна" е замяна на дълготраен актив с друг, която не води до качествени или количествени изменения на произведения продукт.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12. „Обособена част от проекта" е завършен етап на изпълнение на проекта, който е обособен и е доведен до самостоятелна степен на завършеност.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13. „Операция" е понятие по смисъла на чл. 2, т. 9 от Регламент (ЕС) № 1303/2013.</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14. „Очевидна грешка" е писмена грешка, грешка в пресмятането или други подобни очевидни неточности, която може да бъде непосредствено установена при техническа проверка на информацията, съдържаща се в документите.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15. „Получател на финансова помощ" е бенефициент по смисъла на Закона за управление на средствата от Европейските структурни и инвестиционни фондове.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16. „Проверка на място" е проверка по смисъла на Регламент (ЕО) № 809/2014.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17. „Продължителност на неизпълнение" се преценява съобразно времето, през което траят последиците или възможността за отстраняване на тези последици по приемлив за успешното изпълнение на проекта начин.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18. „Проект" е специфичен набор от координирани дейности, които се предприемат от кандидата за постигане на конкретни цели в определен период от време с определен бюджет.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19. „Публичен принос" е общият сбор от средствата, отпускани за финансиране дейностите по стратегията за ВОМР от ЕЗФРСР, ЕФРР, ЕСФ, ЕФМДР и от националното съфинансиране.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20. „Референтни разходи" са 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 21. „Степен на неизпълнение" на проекта се преценява съобразно последствията от неизпълнение на дейността и отражението върху целия проект и/или неизпълнението на определените в проекта индикатори.</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22. „Съществено нарушение" е нарушение, което ако не е било допуснато, би довело до различен резултат при подбора на проекти.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23. „Функционална несамостоятелност"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24. „Обем на договора" е стойността на изплатената по договора финансова помощ.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25. „Финансова помощ" е безвъзмездна финансова помощ по смисъла на Закона за управление на средствата от Европейските структурни и инвестиционни фондове. </w:t>
      </w:r>
    </w:p>
    <w:p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26. Изчисленията за определяне на сумите по СВОМР за територията на МИГ –Разлог се определят по курс 1,9558 лева за 1 евро</w:t>
      </w:r>
    </w:p>
    <w:p w:rsidR="00851F2F" w:rsidRDefault="00851F2F" w:rsidP="00851F2F">
      <w:pPr>
        <w:rPr>
          <w:rFonts w:ascii="Times New Roman" w:hAnsi="Times New Roman" w:cs="Times New Roman"/>
          <w:b/>
          <w:sz w:val="24"/>
          <w:szCs w:val="24"/>
        </w:rPr>
      </w:pPr>
    </w:p>
    <w:p w:rsidR="00851F2F" w:rsidRPr="00851F2F" w:rsidRDefault="00851F2F" w:rsidP="00851F2F">
      <w:pPr>
        <w:rPr>
          <w:rFonts w:ascii="Times New Roman" w:hAnsi="Times New Roman" w:cs="Times New Roman"/>
          <w:b/>
          <w:color w:val="000000"/>
          <w:sz w:val="24"/>
          <w:szCs w:val="24"/>
        </w:rPr>
      </w:pPr>
      <w:r w:rsidRPr="00851F2F">
        <w:rPr>
          <w:rFonts w:ascii="Times New Roman" w:hAnsi="Times New Roman" w:cs="Times New Roman"/>
          <w:b/>
          <w:sz w:val="24"/>
          <w:szCs w:val="24"/>
        </w:rPr>
        <w:t>Допълнителни пояснения и определения  по условията за прилагане на мярка 4.2. от СВОМР на „МИГ-Разлог”:</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w:t>
      </w:r>
      <w:r w:rsidRPr="00851F2F">
        <w:rPr>
          <w:rStyle w:val="ldef2"/>
          <w:rFonts w:ascii="Times New Roman" w:hAnsi="Times New Roman"/>
          <w:sz w:val="24"/>
          <w:szCs w:val="24"/>
        </w:rPr>
        <w:t>„Административни проверки"</w:t>
      </w:r>
      <w:r w:rsidRPr="00851F2F">
        <w:rPr>
          <w:rFonts w:ascii="Times New Roman" w:hAnsi="Times New Roman" w:cs="Times New Roman"/>
          <w:color w:val="000000"/>
          <w:sz w:val="24"/>
          <w:szCs w:val="24"/>
        </w:rPr>
        <w:t xml:space="preserve"> са проверки съгласно условията и разпоредбите на чл. 48 от Регламент за изпълнение (ЕС) № 809/2014.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w:t>
      </w:r>
      <w:r w:rsidRPr="00851F2F">
        <w:rPr>
          <w:rStyle w:val="ldef2"/>
          <w:rFonts w:ascii="Times New Roman" w:hAnsi="Times New Roman"/>
          <w:sz w:val="24"/>
          <w:szCs w:val="24"/>
        </w:rPr>
        <w:t>„Авансово плащане"</w:t>
      </w:r>
      <w:r w:rsidRPr="00851F2F">
        <w:rPr>
          <w:rFonts w:ascii="Times New Roman" w:hAnsi="Times New Roman" w:cs="Times New Roman"/>
          <w:color w:val="000000"/>
          <w:sz w:val="24"/>
          <w:szCs w:val="24"/>
        </w:rPr>
        <w:t xml:space="preserve"> е плащане по смисъла на чл. 63 от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 декември 2013 г.).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w:t>
      </w:r>
      <w:r w:rsidRPr="00851F2F">
        <w:rPr>
          <w:rStyle w:val="ldef2"/>
          <w:rFonts w:ascii="Times New Roman" w:hAnsi="Times New Roman"/>
          <w:sz w:val="24"/>
          <w:szCs w:val="24"/>
        </w:rPr>
        <w:t>„Биоенергия"</w:t>
      </w:r>
      <w:r w:rsidRPr="00851F2F">
        <w:rPr>
          <w:rFonts w:ascii="Times New Roman" w:hAnsi="Times New Roman" w:cs="Times New Roman"/>
          <w:color w:val="000000"/>
          <w:sz w:val="24"/>
          <w:szCs w:val="24"/>
        </w:rPr>
        <w:t xml:space="preserve"> е енергия, включително под формата на течни или газообразни горива, която е получена от преработката на биомаса.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4.</w:t>
      </w:r>
      <w:r w:rsidRPr="00851F2F">
        <w:rPr>
          <w:rStyle w:val="ldef2"/>
          <w:rFonts w:ascii="Times New Roman" w:hAnsi="Times New Roman"/>
          <w:sz w:val="24"/>
          <w:szCs w:val="24"/>
        </w:rPr>
        <w:t>„Биомаса"</w:t>
      </w:r>
      <w:r w:rsidRPr="00851F2F">
        <w:rPr>
          <w:rFonts w:ascii="Times New Roman" w:hAnsi="Times New Roman" w:cs="Times New Roman"/>
          <w:color w:val="000000"/>
          <w:sz w:val="24"/>
          <w:szCs w:val="24"/>
        </w:rPr>
        <w:t xml:space="preserve"> е 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5.</w:t>
      </w:r>
      <w:r w:rsidRPr="00851F2F">
        <w:rPr>
          <w:rStyle w:val="ldef2"/>
          <w:rFonts w:ascii="Times New Roman" w:hAnsi="Times New Roman"/>
          <w:sz w:val="24"/>
          <w:szCs w:val="24"/>
        </w:rPr>
        <w:t>„Биогориво"</w:t>
      </w:r>
      <w:r w:rsidRPr="00851F2F">
        <w:rPr>
          <w:rFonts w:ascii="Times New Roman" w:hAnsi="Times New Roman" w:cs="Times New Roman"/>
          <w:color w:val="000000"/>
          <w:sz w:val="24"/>
          <w:szCs w:val="24"/>
        </w:rPr>
        <w:t xml:space="preserve"> са течни, газообразни или твърди горива, произведени от биомаса (пелети, брикети, нарязана и пресована слама и други остатъчни продукти от преработка на земеделски суровини, биодизел, биоетанол, етери, произведени от биоетанол), включително биогориво, произведено от зърнени култури и други култури, богати на скорбяла, захар и маслодайни култури, съгласно определението в чл. 1, параграф 1 от Директива (ЕС) 2015/1513 на Eвропейския парламент и на Съвета от 9 септември 2015 г. за изменение на Директива 98/70/ЕО относно качеството на бензиновите и дизеловите горива и за изменение на Директива 2009/28/ЕО за насърчаване използването на енергия от възобновяеми източници (ОВ, L 239/1 от 15.9.2015 г.).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6.</w:t>
      </w:r>
      <w:r w:rsidRPr="00851F2F">
        <w:rPr>
          <w:rStyle w:val="ldef2"/>
          <w:rFonts w:ascii="Times New Roman" w:hAnsi="Times New Roman"/>
          <w:sz w:val="24"/>
          <w:szCs w:val="24"/>
        </w:rPr>
        <w:t>„Възобновяеми енергийни източници"</w:t>
      </w:r>
      <w:r w:rsidRPr="00851F2F">
        <w:rPr>
          <w:rFonts w:ascii="Times New Roman" w:hAnsi="Times New Roman" w:cs="Times New Roman"/>
          <w:color w:val="000000"/>
          <w:sz w:val="24"/>
          <w:szCs w:val="24"/>
        </w:rPr>
        <w:t xml:space="preserve"> са неизкопаеми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отпадни топлини, енергия от биомаса и енергията от индустриални и битови отпадъци. </w:t>
      </w:r>
    </w:p>
    <w:p w:rsidR="00712AB6" w:rsidRDefault="00851F2F" w:rsidP="00851F2F">
      <w:pPr>
        <w:ind w:firstLine="480"/>
        <w:jc w:val="both"/>
        <w:rPr>
          <w:rStyle w:val="alcapt2"/>
          <w:rFonts w:ascii="Times New Roman" w:hAnsi="Times New Roman"/>
          <w:color w:val="000000"/>
          <w:sz w:val="24"/>
          <w:szCs w:val="24"/>
        </w:rPr>
      </w:pPr>
      <w:r w:rsidRPr="00851F2F">
        <w:rPr>
          <w:rStyle w:val="alcapt2"/>
          <w:rFonts w:ascii="Times New Roman" w:hAnsi="Times New Roman"/>
          <w:color w:val="000000"/>
          <w:sz w:val="24"/>
          <w:szCs w:val="24"/>
        </w:rPr>
        <w:t>7</w:t>
      </w:r>
      <w:r w:rsidR="00975288">
        <w:rPr>
          <w:rStyle w:val="alcapt2"/>
          <w:rFonts w:ascii="Times New Roman" w:hAnsi="Times New Roman"/>
          <w:color w:val="000000"/>
          <w:sz w:val="24"/>
          <w:szCs w:val="24"/>
        </w:rPr>
        <w:t>.</w:t>
      </w:r>
      <w:r w:rsidR="002844CE" w:rsidRPr="002844CE">
        <w:rPr>
          <w:rFonts w:ascii="Times New Roman" w:hAnsi="Times New Roman" w:cs="Times New Roman"/>
          <w:sz w:val="24"/>
          <w:szCs w:val="24"/>
        </w:rPr>
        <w:t xml:space="preserve"> </w:t>
      </w:r>
      <w:r w:rsidR="002844CE" w:rsidRPr="002844CE">
        <w:rPr>
          <w:rFonts w:ascii="Times New Roman" w:hAnsi="Times New Roman" w:cs="Times New Roman"/>
          <w:color w:val="FF0000"/>
          <w:sz w:val="24"/>
          <w:szCs w:val="24"/>
        </w:rPr>
        <w:t>„ДДС”</w:t>
      </w:r>
      <w:r w:rsidR="002844CE">
        <w:rPr>
          <w:rFonts w:ascii="Times New Roman" w:hAnsi="Times New Roman" w:cs="Times New Roman"/>
          <w:sz w:val="24"/>
          <w:szCs w:val="24"/>
        </w:rPr>
        <w:t xml:space="preserve"> – данък добавена стойност</w:t>
      </w:r>
      <w:r w:rsidR="002844CE" w:rsidRPr="002844CE">
        <w:rPr>
          <w:rFonts w:ascii="Times New Roman" w:hAnsi="Times New Roman" w:cs="Times New Roman"/>
          <w:sz w:val="24"/>
          <w:szCs w:val="24"/>
        </w:rPr>
        <w:t xml:space="preserve"> </w:t>
      </w:r>
      <w:r w:rsidR="002844CE" w:rsidRPr="00851F2F">
        <w:rPr>
          <w:rFonts w:ascii="Times New Roman" w:hAnsi="Times New Roman" w:cs="Times New Roman"/>
          <w:sz w:val="24"/>
          <w:szCs w:val="24"/>
        </w:rPr>
        <w:t xml:space="preserve">съгласно разпоредбите на </w:t>
      </w:r>
      <w:r w:rsidR="002844CE">
        <w:rPr>
          <w:rFonts w:ascii="Times New Roman" w:hAnsi="Times New Roman" w:cs="Times New Roman"/>
          <w:sz w:val="24"/>
          <w:szCs w:val="24"/>
        </w:rPr>
        <w:t>Закона за данък върху добавената стойност -  ЗДДС.</w:t>
      </w:r>
    </w:p>
    <w:p w:rsidR="00851F2F" w:rsidRPr="00851F2F" w:rsidRDefault="00712AB6"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8</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„Дейност"</w:t>
      </w:r>
      <w:r w:rsidR="00851F2F" w:rsidRPr="00851F2F">
        <w:rPr>
          <w:rFonts w:ascii="Times New Roman" w:hAnsi="Times New Roman" w:cs="Times New Roman"/>
          <w:color w:val="000000"/>
          <w:sz w:val="24"/>
          <w:szCs w:val="24"/>
        </w:rPr>
        <w:t xml:space="preserve"> е проект, договор, споразумение или друг механизъм, избран съгласно заложените в ПРСР 2014-2020 г. критерии, който се отнася до и се осъществява от един или повече ползватели на помощ, предвид постигането на поставените цели в ПРСР 2014-20 г.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lastRenderedPageBreak/>
        <w:t>9.</w:t>
      </w:r>
      <w:r w:rsidRPr="00851F2F">
        <w:rPr>
          <w:rStyle w:val="ldef2"/>
          <w:rFonts w:ascii="Times New Roman" w:hAnsi="Times New Roman"/>
          <w:sz w:val="24"/>
          <w:szCs w:val="24"/>
        </w:rPr>
        <w:t>„Добра производствена практика"</w:t>
      </w:r>
      <w:r w:rsidRPr="00851F2F">
        <w:rPr>
          <w:rFonts w:ascii="Times New Roman" w:hAnsi="Times New Roman" w:cs="Times New Roman"/>
          <w:color w:val="000000"/>
          <w:sz w:val="24"/>
          <w:szCs w:val="24"/>
        </w:rPr>
        <w:t xml:space="preserve"> е система за осигуряване на качество и безопасност, която гарантира, че храните се произвеждат и контролират в съответствие с утвърдените стандарти, нормативи и други изисквания за качество и безопасност съобразно предназначението им и в съответствие с изискванията за издаване на разрешително за тяхното производство, търговия и употреба.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10.</w:t>
      </w:r>
      <w:r w:rsidRPr="00851F2F">
        <w:rPr>
          <w:rStyle w:val="ldef2"/>
          <w:rFonts w:ascii="Times New Roman" w:hAnsi="Times New Roman"/>
          <w:sz w:val="24"/>
          <w:szCs w:val="24"/>
        </w:rPr>
        <w:t>„Доминиращо влияние"</w:t>
      </w:r>
      <w:r w:rsidRPr="00851F2F">
        <w:rPr>
          <w:rFonts w:ascii="Times New Roman" w:hAnsi="Times New Roman" w:cs="Times New Roman"/>
          <w:color w:val="000000"/>
          <w:sz w:val="24"/>
          <w:szCs w:val="24"/>
        </w:rPr>
        <w:t xml:space="preserve"> върху юридическо лице е влиянието на друго лице, което: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а)</w:t>
      </w:r>
      <w:r w:rsidRPr="00851F2F">
        <w:rPr>
          <w:rFonts w:ascii="Times New Roman" w:hAnsi="Times New Roman" w:cs="Times New Roman"/>
          <w:color w:val="000000"/>
          <w:sz w:val="24"/>
          <w:szCs w:val="24"/>
        </w:rPr>
        <w:t xml:space="preserve"> притежава мажоритарния дял от капитала на юридическото лице, или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б)</w:t>
      </w:r>
      <w:r w:rsidRPr="00851F2F">
        <w:rPr>
          <w:rFonts w:ascii="Times New Roman" w:hAnsi="Times New Roman" w:cs="Times New Roman"/>
          <w:color w:val="000000"/>
          <w:sz w:val="24"/>
          <w:szCs w:val="24"/>
        </w:rPr>
        <w:t xml:space="preserve"> притежава блокираща квота в капитала на юридическото лице, или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в)</w:t>
      </w:r>
      <w:r w:rsidRPr="00851F2F">
        <w:rPr>
          <w:rFonts w:ascii="Times New Roman" w:hAnsi="Times New Roman" w:cs="Times New Roman"/>
          <w:color w:val="000000"/>
          <w:sz w:val="24"/>
          <w:szCs w:val="24"/>
        </w:rPr>
        <w:t xml:space="preserve"> може да назначава повече от половината от членовете на управителните или контролните органи на юридическото лице.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11.</w:t>
      </w:r>
      <w:r w:rsidRPr="00851F2F">
        <w:rPr>
          <w:rStyle w:val="ldef2"/>
          <w:rFonts w:ascii="Times New Roman" w:hAnsi="Times New Roman"/>
          <w:sz w:val="24"/>
          <w:szCs w:val="24"/>
        </w:rPr>
        <w:t>„Енергийна ефективност в рамките на предприятието"</w:t>
      </w:r>
      <w:r w:rsidRPr="00851F2F">
        <w:rPr>
          <w:rFonts w:ascii="Times New Roman" w:hAnsi="Times New Roman" w:cs="Times New Roman"/>
          <w:color w:val="000000"/>
          <w:sz w:val="24"/>
          <w:szCs w:val="24"/>
        </w:rPr>
        <w:t xml:space="preserve"> е съотношението между изходното количество произведена стока или продукция и вложеното количество енергия, като инвестициите по проекта трябва да допринасят за енергийно спестяване в рамките на цялото предприятие спрямо годишното потребление на енергия за годината, предхождаща годината на подаване на заявлението за подпомагане. За нови предприятия трябва да е налице надхвърляне на задължителните минимални изисквания за енергийна ефективност по Закона за енергийна ефективност и Закона за устройство на територията и е налице повишаване на енергийната ефективност с минимум 10 на сто за предприятието.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12.</w:t>
      </w:r>
      <w:r w:rsidRPr="00851F2F">
        <w:rPr>
          <w:rStyle w:val="ldef2"/>
          <w:rFonts w:ascii="Times New Roman" w:hAnsi="Times New Roman"/>
          <w:sz w:val="24"/>
          <w:szCs w:val="24"/>
        </w:rPr>
        <w:t>„Изкуствено създадени условия"</w:t>
      </w:r>
      <w:r w:rsidRPr="00851F2F">
        <w:rPr>
          <w:rFonts w:ascii="Times New Roman" w:hAnsi="Times New Roman" w:cs="Times New Roman"/>
          <w:color w:val="000000"/>
          <w:sz w:val="24"/>
          <w:szCs w:val="24"/>
        </w:rPr>
        <w:t xml:space="preserve"> е всяко установено условие по смисъла на чл. 60 от Регламент (ЕС) № 1306/2013.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13.</w:t>
      </w:r>
      <w:r w:rsidRPr="00851F2F">
        <w:rPr>
          <w:rStyle w:val="ldef2"/>
          <w:rFonts w:ascii="Times New Roman" w:hAnsi="Times New Roman"/>
          <w:sz w:val="24"/>
          <w:szCs w:val="24"/>
        </w:rPr>
        <w:t>„Икономическа жизнеспособност"</w:t>
      </w:r>
      <w:r w:rsidRPr="00851F2F">
        <w:rPr>
          <w:rFonts w:ascii="Times New Roman" w:hAnsi="Times New Roman" w:cs="Times New Roman"/>
          <w:color w:val="000000"/>
          <w:sz w:val="24"/>
          <w:szCs w:val="24"/>
        </w:rPr>
        <w:t xml:space="preserve"> е генерирането на доходи от дейността, гарантиращи устойчивост на предприятието за периода на бизнес плана.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14.</w:t>
      </w:r>
      <w:r w:rsidRPr="00851F2F">
        <w:rPr>
          <w:rStyle w:val="ldef2"/>
          <w:rFonts w:ascii="Times New Roman" w:hAnsi="Times New Roman"/>
          <w:sz w:val="24"/>
          <w:szCs w:val="24"/>
        </w:rPr>
        <w:t>„Икономически размер на стопанство"</w:t>
      </w:r>
      <w:r w:rsidRPr="00851F2F">
        <w:rPr>
          <w:rFonts w:ascii="Times New Roman" w:hAnsi="Times New Roman" w:cs="Times New Roman"/>
          <w:color w:val="000000"/>
          <w:sz w:val="24"/>
          <w:szCs w:val="24"/>
        </w:rPr>
        <w:t xml:space="preserve"> е размерът на земеделското стопанство, изразен в стандартен производствен обем.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15.</w:t>
      </w:r>
      <w:r w:rsidRPr="00851F2F">
        <w:rPr>
          <w:rStyle w:val="ldef2"/>
          <w:rFonts w:ascii="Times New Roman" w:hAnsi="Times New Roman"/>
          <w:sz w:val="24"/>
          <w:szCs w:val="24"/>
        </w:rPr>
        <w:t>„Иновации"</w:t>
      </w:r>
      <w:r w:rsidRPr="00851F2F">
        <w:rPr>
          <w:rFonts w:ascii="Times New Roman" w:hAnsi="Times New Roman" w:cs="Times New Roman"/>
          <w:color w:val="000000"/>
          <w:sz w:val="24"/>
          <w:szCs w:val="24"/>
        </w:rPr>
        <w:t xml:space="preserve"> са: иновативен продукт, произвеждан от стопанството/предприятието,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внедрена в рамките на две години преди датата на подаване на заявлението за подпомагане. За иновации не се смятат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надграждането 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организационни методи, които вече се използват в стопанството.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lastRenderedPageBreak/>
        <w:t>16.</w:t>
      </w:r>
      <w:r w:rsidRPr="00851F2F">
        <w:rPr>
          <w:rStyle w:val="ldef2"/>
          <w:rFonts w:ascii="Times New Roman" w:hAnsi="Times New Roman"/>
          <w:sz w:val="24"/>
          <w:szCs w:val="24"/>
        </w:rPr>
        <w:t>„Интегрирани проекти"</w:t>
      </w:r>
      <w:r w:rsidRPr="00851F2F">
        <w:rPr>
          <w:rFonts w:ascii="Times New Roman" w:hAnsi="Times New Roman" w:cs="Times New Roman"/>
          <w:color w:val="000000"/>
          <w:sz w:val="24"/>
          <w:szCs w:val="24"/>
        </w:rPr>
        <w:t xml:space="preserve"> са проекти, изпълнявани от един кандидат и съчетаващи най-малко две дейности или операции, попадащи в обхвата на две различни мерки: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а)</w:t>
      </w:r>
      <w:r w:rsidRPr="00851F2F">
        <w:rPr>
          <w:rFonts w:ascii="Times New Roman" w:hAnsi="Times New Roman" w:cs="Times New Roman"/>
          <w:color w:val="000000"/>
          <w:sz w:val="24"/>
          <w:szCs w:val="24"/>
        </w:rPr>
        <w:t xml:space="preserve"> мярка 4 и мярка 6;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б)</w:t>
      </w:r>
      <w:r w:rsidRPr="00851F2F">
        <w:rPr>
          <w:rFonts w:ascii="Times New Roman" w:hAnsi="Times New Roman" w:cs="Times New Roman"/>
          <w:color w:val="000000"/>
          <w:sz w:val="24"/>
          <w:szCs w:val="24"/>
        </w:rPr>
        <w:t xml:space="preserve"> мярка 4 и мярка 8;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в)</w:t>
      </w:r>
      <w:r w:rsidRPr="00851F2F">
        <w:rPr>
          <w:rFonts w:ascii="Times New Roman" w:hAnsi="Times New Roman" w:cs="Times New Roman"/>
          <w:color w:val="000000"/>
          <w:sz w:val="24"/>
          <w:szCs w:val="24"/>
        </w:rPr>
        <w:t xml:space="preserve"> мярка 4 и мярка 9; </w:t>
      </w:r>
    </w:p>
    <w:p w:rsidR="00851F2F" w:rsidRPr="00851F2F" w:rsidRDefault="00851F2F" w:rsidP="00851F2F">
      <w:pPr>
        <w:ind w:firstLine="480"/>
        <w:jc w:val="both"/>
        <w:rPr>
          <w:rFonts w:ascii="Times New Roman" w:hAnsi="Times New Roman" w:cs="Times New Roman"/>
          <w:color w:val="000000"/>
          <w:sz w:val="24"/>
          <w:szCs w:val="24"/>
        </w:rPr>
      </w:pPr>
      <w:r w:rsidRPr="00851F2F">
        <w:rPr>
          <w:rFonts w:ascii="Times New Roman" w:hAnsi="Times New Roman" w:cs="Times New Roman"/>
          <w:color w:val="000000"/>
          <w:sz w:val="24"/>
          <w:szCs w:val="24"/>
        </w:rPr>
        <w:t>или подмерки от тези мерки от ПРСР 2014 - 2020 г., като проектите трябва да допринасят и показват по-добри финансови резултати от дейността на кандидата в резултат на едновременното изпълнение на съответните дейности или операции.</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17.</w:t>
      </w:r>
      <w:r w:rsidRPr="00851F2F">
        <w:rPr>
          <w:rStyle w:val="ldef2"/>
          <w:rFonts w:ascii="Times New Roman" w:hAnsi="Times New Roman"/>
          <w:sz w:val="24"/>
          <w:szCs w:val="24"/>
        </w:rPr>
        <w:t>„Колективни инвестиции"</w:t>
      </w:r>
      <w:r w:rsidRPr="00851F2F">
        <w:rPr>
          <w:rFonts w:ascii="Times New Roman" w:hAnsi="Times New Roman" w:cs="Times New Roman"/>
          <w:color w:val="000000"/>
          <w:sz w:val="24"/>
          <w:szCs w:val="24"/>
        </w:rPr>
        <w:t xml:space="preserve"> са инвестиции, свързани с осигуряване на сътрудничеството между над 6 земеделски стопани или признати групи/организации на производители, чрез предприемане на по-ефективни и икономически изгодни инвестиции в общи съоръжения, оборудване, инфраструктура и др.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18.</w:t>
      </w:r>
      <w:r w:rsidRPr="00851F2F">
        <w:rPr>
          <w:rStyle w:val="ldef2"/>
          <w:rFonts w:ascii="Times New Roman" w:hAnsi="Times New Roman"/>
          <w:sz w:val="24"/>
          <w:szCs w:val="24"/>
        </w:rPr>
        <w:t>„Маркетинг на продукт"</w:t>
      </w:r>
      <w:r w:rsidRPr="00851F2F">
        <w:rPr>
          <w:rFonts w:ascii="Times New Roman" w:hAnsi="Times New Roman" w:cs="Times New Roman"/>
          <w:color w:val="000000"/>
          <w:sz w:val="24"/>
          <w:szCs w:val="24"/>
        </w:rPr>
        <w:t xml:space="preserve"> е притежаване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19.</w:t>
      </w:r>
      <w:r w:rsidRPr="00851F2F">
        <w:rPr>
          <w:rStyle w:val="ldef2"/>
          <w:rFonts w:ascii="Times New Roman" w:hAnsi="Times New Roman"/>
          <w:sz w:val="24"/>
          <w:szCs w:val="24"/>
        </w:rPr>
        <w:t>„Материални активи"</w:t>
      </w:r>
      <w:r w:rsidRPr="00851F2F">
        <w:rPr>
          <w:rFonts w:ascii="Times New Roman" w:hAnsi="Times New Roman" w:cs="Times New Roman"/>
          <w:color w:val="000000"/>
          <w:sz w:val="24"/>
          <w:szCs w:val="24"/>
        </w:rPr>
        <w:t xml:space="preserve"> са активи, отнасящи се до земя, сгради, машини и съоръжения.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20.</w:t>
      </w:r>
      <w:r w:rsidRPr="00851F2F">
        <w:rPr>
          <w:rStyle w:val="ldef2"/>
          <w:rFonts w:ascii="Times New Roman" w:hAnsi="Times New Roman"/>
          <w:sz w:val="24"/>
          <w:szCs w:val="24"/>
        </w:rPr>
        <w:t>„Междинно плащане"</w:t>
      </w:r>
      <w:r w:rsidRPr="00851F2F">
        <w:rPr>
          <w:rFonts w:ascii="Times New Roman" w:hAnsi="Times New Roman" w:cs="Times New Roman"/>
          <w:color w:val="000000"/>
          <w:sz w:val="24"/>
          <w:szCs w:val="24"/>
        </w:rPr>
        <w:t xml:space="preserve"> е плащане за обособена част от одобрената и извършена инвестиция.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21.</w:t>
      </w:r>
      <w:r w:rsidRPr="00851F2F">
        <w:rPr>
          <w:rStyle w:val="ldef2"/>
          <w:rFonts w:ascii="Times New Roman" w:hAnsi="Times New Roman"/>
          <w:sz w:val="24"/>
          <w:szCs w:val="24"/>
        </w:rPr>
        <w:t>„Международно признат стандарт"</w:t>
      </w:r>
      <w:r w:rsidRPr="00851F2F">
        <w:rPr>
          <w:rFonts w:ascii="Times New Roman" w:hAnsi="Times New Roman" w:cs="Times New Roman"/>
          <w:color w:val="000000"/>
          <w:sz w:val="24"/>
          <w:szCs w:val="24"/>
        </w:rPr>
        <w:t xml:space="preserve"> е стандарт, който е приет от международна организация по стандартизация или международна организация с дейност по стандартизация и е общодостъпен.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22.</w:t>
      </w:r>
      <w:r w:rsidRPr="00851F2F">
        <w:rPr>
          <w:rStyle w:val="ldef2"/>
          <w:rFonts w:ascii="Times New Roman" w:hAnsi="Times New Roman"/>
          <w:sz w:val="24"/>
          <w:szCs w:val="24"/>
        </w:rPr>
        <w:t>„Места по националната екологична мрежа Натура 2000"</w:t>
      </w:r>
      <w:r w:rsidRPr="00851F2F">
        <w:rPr>
          <w:rFonts w:ascii="Times New Roman" w:hAnsi="Times New Roman" w:cs="Times New Roman"/>
          <w:color w:val="000000"/>
          <w:sz w:val="24"/>
          <w:szCs w:val="24"/>
        </w:rPr>
        <w:t xml:space="preserve"> са защитените зони по смисъла на чл. 6, ал. 1 от Закона за биологичното разнообразие.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23.</w:t>
      </w:r>
      <w:r w:rsidRPr="00851F2F">
        <w:rPr>
          <w:rStyle w:val="ldef2"/>
          <w:rFonts w:ascii="Times New Roman" w:hAnsi="Times New Roman"/>
          <w:sz w:val="24"/>
          <w:szCs w:val="24"/>
        </w:rPr>
        <w:t>„Микропредприятия, малки предприятия, средни предприятия"</w:t>
      </w:r>
      <w:r w:rsidRPr="00851F2F">
        <w:rPr>
          <w:rFonts w:ascii="Times New Roman" w:hAnsi="Times New Roman" w:cs="Times New Roman"/>
          <w:color w:val="000000"/>
          <w:sz w:val="24"/>
          <w:szCs w:val="24"/>
        </w:rPr>
        <w:t xml:space="preserve"> са предприятия по смисъла на Закона за малките и средните предприятия.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24.</w:t>
      </w:r>
      <w:r w:rsidRPr="00851F2F">
        <w:rPr>
          <w:rStyle w:val="ldef2"/>
          <w:rFonts w:ascii="Times New Roman" w:hAnsi="Times New Roman"/>
          <w:sz w:val="24"/>
          <w:szCs w:val="24"/>
        </w:rPr>
        <w:t>„Млади земеделски стопани"</w:t>
      </w:r>
      <w:r w:rsidRPr="00851F2F">
        <w:rPr>
          <w:rFonts w:ascii="Times New Roman" w:hAnsi="Times New Roman" w:cs="Times New Roman"/>
          <w:color w:val="000000"/>
          <w:sz w:val="24"/>
          <w:szCs w:val="24"/>
        </w:rPr>
        <w:t xml:space="preserve"> са лица, които към момента на подаване на заявлението за подпомагане са на възраст между 18 и не повече от 40 години и притежават съответни професионални умения и компетентности и се установяват за пръв път като ръководител на земеделско стопанство или вече са се установили през петте години преди подаване на заявлението за подпомагане. Когато кандидати за подпомагане са юридически лица, за да се считат за млади земеделски стопани, те следва да отговарят на изискванията по чл. 2 от Делегиран регламент № 807/2014 на Комисията от 11 март 2014 г. за допълнение на някои разпоредби на Регламент (ЕС) на Европейския парламент и на Съвета. Не са млади земеделски стопани кандидати - юридически лица, чийто мажоритарен дял от капитала е придобит от физическото лице на възраст между 18 и 40 ненавършени години след 1 януари </w:t>
      </w:r>
      <w:r w:rsidRPr="00851F2F">
        <w:rPr>
          <w:rFonts w:ascii="Times New Roman" w:hAnsi="Times New Roman" w:cs="Times New Roman"/>
          <w:color w:val="000000"/>
          <w:sz w:val="24"/>
          <w:szCs w:val="24"/>
        </w:rPr>
        <w:lastRenderedPageBreak/>
        <w:t xml:space="preserve">2014 г. Установяването като ръководител на земеделско стопанство е настъпването на първото от следните събития: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а)</w:t>
      </w:r>
      <w:r w:rsidRPr="00851F2F">
        <w:rPr>
          <w:rFonts w:ascii="Times New Roman" w:hAnsi="Times New Roman" w:cs="Times New Roman"/>
          <w:color w:val="000000"/>
          <w:sz w:val="24"/>
          <w:szCs w:val="24"/>
        </w:rPr>
        <w:t xml:space="preserve"> регистрация на кандидата (физическо или юридическо лице), на друго юридическо лице, чийто мажоритарен дял от капитала се притежава от кандидата, на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 за първи път като земеделски стопанин по Закона за подпомагане на земеделските производители;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б)</w:t>
      </w:r>
      <w:r w:rsidRPr="00851F2F">
        <w:rPr>
          <w:rFonts w:ascii="Times New Roman" w:hAnsi="Times New Roman" w:cs="Times New Roman"/>
          <w:color w:val="000000"/>
          <w:sz w:val="24"/>
          <w:szCs w:val="24"/>
        </w:rPr>
        <w:t xml:space="preserve"> започване на отглеждане на животни в животновъден обект - собствен или нает от кандидата (физическо или юридическо лице), от друго юридическо лице, чийто мажоритарен дял от капитала се притежава от кандидата, от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в)</w:t>
      </w:r>
      <w:r w:rsidRPr="00851F2F">
        <w:rPr>
          <w:rFonts w:ascii="Times New Roman" w:hAnsi="Times New Roman" w:cs="Times New Roman"/>
          <w:color w:val="000000"/>
          <w:sz w:val="24"/>
          <w:szCs w:val="24"/>
        </w:rPr>
        <w:t xml:space="preserve"> стопанисване на земя с цел производство на земеделска или животинска продукция от страна на кандидата (физическо или юридическо лице), друго юридическо лице, чийто мажоритарен дял се притежава от кандидата, мажоритарния собственик на дял от капитала на кандидата и/или юридическо лице, чийто мажоритарен дял от капитала се притежава от мажоритарния собственик на дял от капитала на кандидата.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25.</w:t>
      </w:r>
      <w:r w:rsidRPr="00851F2F">
        <w:rPr>
          <w:rStyle w:val="ldef2"/>
          <w:rFonts w:ascii="Times New Roman" w:hAnsi="Times New Roman"/>
          <w:sz w:val="24"/>
          <w:szCs w:val="24"/>
        </w:rPr>
        <w:t>„Независими оферти"</w:t>
      </w:r>
      <w:r w:rsidRPr="00851F2F">
        <w:rPr>
          <w:rFonts w:ascii="Times New Roman" w:hAnsi="Times New Roman" w:cs="Times New Roman"/>
          <w:color w:val="000000"/>
          <w:sz w:val="24"/>
          <w:szCs w:val="24"/>
        </w:rPr>
        <w:t xml:space="preserve"> са оферти, подадени от лица, които не се намират в следната свързаност помежду си или спрямо кандидата: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а)</w:t>
      </w:r>
      <w:r w:rsidRPr="00851F2F">
        <w:rPr>
          <w:rFonts w:ascii="Times New Roman" w:hAnsi="Times New Roman" w:cs="Times New Roman"/>
          <w:color w:val="000000"/>
          <w:sz w:val="24"/>
          <w:szCs w:val="24"/>
        </w:rPr>
        <w:t xml:space="preserve"> едното участва в управлението на дружеството на другото;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б)</w:t>
      </w:r>
      <w:r w:rsidRPr="00851F2F">
        <w:rPr>
          <w:rFonts w:ascii="Times New Roman" w:hAnsi="Times New Roman" w:cs="Times New Roman"/>
          <w:color w:val="000000"/>
          <w:sz w:val="24"/>
          <w:szCs w:val="24"/>
        </w:rPr>
        <w:t xml:space="preserve"> съдружници;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в)</w:t>
      </w:r>
      <w:r w:rsidRPr="00851F2F">
        <w:rPr>
          <w:rFonts w:ascii="Times New Roman" w:hAnsi="Times New Roman" w:cs="Times New Roman"/>
          <w:color w:val="000000"/>
          <w:sz w:val="24"/>
          <w:szCs w:val="24"/>
        </w:rPr>
        <w:t xml:space="preserve"> съвместно контролират пряко трето лице;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г)</w:t>
      </w:r>
      <w:r w:rsidRPr="00851F2F">
        <w:rPr>
          <w:rFonts w:ascii="Times New Roman" w:hAnsi="Times New Roman" w:cs="Times New Roman"/>
          <w:color w:val="000000"/>
          <w:sz w:val="24"/>
          <w:szCs w:val="24"/>
        </w:rPr>
        <w:t xml:space="preserve"> участват пряко в управлението или капитала на друго лице, поради което между тях могат да се уговарят условия, различни от обичайните;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д)</w:t>
      </w:r>
      <w:r w:rsidRPr="00851F2F">
        <w:rPr>
          <w:rFonts w:ascii="Times New Roman" w:hAnsi="Times New Roman" w:cs="Times New Roman"/>
          <w:color w:val="000000"/>
          <w:sz w:val="24"/>
          <w:szCs w:val="24"/>
        </w:rPr>
        <w:t xml:space="preserve"> едното лице притежава повече от половината от броя на гласовете в общото събрание на другото лице;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е)</w:t>
      </w:r>
      <w:r w:rsidRPr="00851F2F">
        <w:rPr>
          <w:rFonts w:ascii="Times New Roman" w:hAnsi="Times New Roman" w:cs="Times New Roman"/>
          <w:color w:val="000000"/>
          <w:sz w:val="24"/>
          <w:szCs w:val="24"/>
        </w:rPr>
        <w:t xml:space="preserve"> лицата, чиято дейност се контролира пряко или косвено от трето лице - физическо или юридическо;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ж)</w:t>
      </w:r>
      <w:r w:rsidRPr="00851F2F">
        <w:rPr>
          <w:rFonts w:ascii="Times New Roman" w:hAnsi="Times New Roman" w:cs="Times New Roman"/>
          <w:color w:val="000000"/>
          <w:sz w:val="24"/>
          <w:szCs w:val="24"/>
        </w:rPr>
        <w:t xml:space="preserve"> лицата, едното от които е търговски представител на другото.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26.</w:t>
      </w:r>
      <w:r w:rsidRPr="00851F2F">
        <w:rPr>
          <w:rStyle w:val="ldef2"/>
          <w:rFonts w:ascii="Times New Roman" w:hAnsi="Times New Roman"/>
          <w:sz w:val="24"/>
          <w:szCs w:val="24"/>
        </w:rPr>
        <w:t>„Нематериални активи"</w:t>
      </w:r>
      <w:r w:rsidRPr="00851F2F">
        <w:rPr>
          <w:rFonts w:ascii="Times New Roman" w:hAnsi="Times New Roman" w:cs="Times New Roman"/>
          <w:color w:val="000000"/>
          <w:sz w:val="24"/>
          <w:szCs w:val="24"/>
        </w:rPr>
        <w:t xml:space="preserve"> са активи, възникнали от трансфер на технологии чрез придобиване на патентни права, лицензи или ноу-хау.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27.</w:t>
      </w:r>
      <w:r w:rsidRPr="00851F2F">
        <w:rPr>
          <w:rStyle w:val="ldef2"/>
          <w:rFonts w:ascii="Times New Roman" w:hAnsi="Times New Roman"/>
          <w:sz w:val="24"/>
          <w:szCs w:val="24"/>
        </w:rPr>
        <w:t>„Непреодолима сила или извънредни обстоятелства"</w:t>
      </w:r>
      <w:r w:rsidRPr="00851F2F">
        <w:rPr>
          <w:rFonts w:ascii="Times New Roman" w:hAnsi="Times New Roman" w:cs="Times New Roman"/>
          <w:color w:val="000000"/>
          <w:sz w:val="24"/>
          <w:szCs w:val="24"/>
        </w:rPr>
        <w:t xml:space="preserve"> са обстоятелства по смисъла на чл. 2, параграф 2 от Регламент (ЕС) № 1306/2013 г.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lastRenderedPageBreak/>
        <w:t>28.</w:t>
      </w:r>
      <w:r w:rsidRPr="00851F2F">
        <w:rPr>
          <w:rStyle w:val="ldef2"/>
          <w:rFonts w:ascii="Times New Roman" w:hAnsi="Times New Roman"/>
          <w:sz w:val="24"/>
          <w:szCs w:val="24"/>
        </w:rPr>
        <w:t>„Непреработена растителна и животинска продукция"</w:t>
      </w:r>
      <w:r w:rsidRPr="00851F2F">
        <w:rPr>
          <w:rFonts w:ascii="Times New Roman" w:hAnsi="Times New Roman" w:cs="Times New Roman"/>
          <w:color w:val="000000"/>
          <w:sz w:val="24"/>
          <w:szCs w:val="24"/>
        </w:rPr>
        <w:t xml:space="preserve"> е всеки първичен продукт, получен от растенията и животните, който се използва в естествен вид, без да е подлаган на технологична обработка или преработка, в резултат на която да са настъпили физико-химични изменения.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29.</w:t>
      </w:r>
      <w:r w:rsidRPr="00851F2F">
        <w:rPr>
          <w:rStyle w:val="ldef2"/>
          <w:rFonts w:ascii="Times New Roman" w:hAnsi="Times New Roman"/>
          <w:sz w:val="24"/>
          <w:szCs w:val="24"/>
        </w:rPr>
        <w:t>„Нередност"</w:t>
      </w:r>
      <w:r w:rsidRPr="00851F2F">
        <w:rPr>
          <w:rFonts w:ascii="Times New Roman" w:hAnsi="Times New Roman" w:cs="Times New Roman"/>
          <w:color w:val="000000"/>
          <w:sz w:val="24"/>
          <w:szCs w:val="24"/>
        </w:rPr>
        <w:t xml:space="preserve"> е 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30.</w:t>
      </w:r>
      <w:r w:rsidRPr="00851F2F">
        <w:rPr>
          <w:rStyle w:val="ldef2"/>
          <w:rFonts w:ascii="Times New Roman" w:hAnsi="Times New Roman"/>
          <w:sz w:val="24"/>
          <w:szCs w:val="24"/>
        </w:rPr>
        <w:t>„Новообразувани предприятия"</w:t>
      </w:r>
      <w:r w:rsidRPr="00851F2F">
        <w:rPr>
          <w:rFonts w:ascii="Times New Roman" w:hAnsi="Times New Roman" w:cs="Times New Roman"/>
          <w:color w:val="000000"/>
          <w:sz w:val="24"/>
          <w:szCs w:val="24"/>
        </w:rPr>
        <w:t xml:space="preserve"> са предприятия по смисъла на Закона за малките и средните предприятия.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31.</w:t>
      </w:r>
      <w:r w:rsidRPr="00851F2F">
        <w:rPr>
          <w:rStyle w:val="ldef2"/>
          <w:rFonts w:ascii="Times New Roman" w:hAnsi="Times New Roman"/>
          <w:sz w:val="24"/>
          <w:szCs w:val="24"/>
        </w:rPr>
        <w:t>„Оперативни разходи"</w:t>
      </w:r>
      <w:r w:rsidRPr="00851F2F">
        <w:rPr>
          <w:rFonts w:ascii="Times New Roman" w:hAnsi="Times New Roman" w:cs="Times New Roman"/>
          <w:color w:val="000000"/>
          <w:sz w:val="24"/>
          <w:szCs w:val="24"/>
        </w:rPr>
        <w:t xml:space="preserve"> са административните разходи и разходите, свързани с поддръжка и експлоатация на активите.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32.</w:t>
      </w:r>
      <w:r w:rsidRPr="00851F2F">
        <w:rPr>
          <w:rStyle w:val="ldef2"/>
          <w:rFonts w:ascii="Times New Roman" w:hAnsi="Times New Roman"/>
          <w:sz w:val="24"/>
          <w:szCs w:val="24"/>
        </w:rPr>
        <w:t>„Организации и/или групи на земеделски производители"</w:t>
      </w:r>
      <w:r w:rsidRPr="00851F2F">
        <w:rPr>
          <w:rFonts w:ascii="Times New Roman" w:hAnsi="Times New Roman" w:cs="Times New Roman"/>
          <w:color w:val="000000"/>
          <w:sz w:val="24"/>
          <w:szCs w:val="24"/>
        </w:rPr>
        <w:t xml:space="preserve"> са организациите и/или групите, признати от министъра на земеделието и храните.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33.</w:t>
      </w:r>
      <w:r w:rsidRPr="00851F2F">
        <w:rPr>
          <w:rStyle w:val="ldef2"/>
          <w:rFonts w:ascii="Times New Roman" w:hAnsi="Times New Roman"/>
          <w:sz w:val="24"/>
          <w:szCs w:val="24"/>
        </w:rPr>
        <w:t>„Обособена част от инвестицията"</w:t>
      </w:r>
      <w:r w:rsidRPr="00851F2F">
        <w:rPr>
          <w:rFonts w:ascii="Times New Roman" w:hAnsi="Times New Roman" w:cs="Times New Roman"/>
          <w:color w:val="000000"/>
          <w:sz w:val="24"/>
          <w:szCs w:val="24"/>
        </w:rPr>
        <w:t xml:space="preserve"> е завършен етап на изпълнение на инвестицията, който е обособен и е доведен до самостоятелна степен на завършеност.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34.</w:t>
      </w:r>
      <w:r w:rsidRPr="00851F2F">
        <w:rPr>
          <w:rStyle w:val="ldef2"/>
          <w:rFonts w:ascii="Times New Roman" w:hAnsi="Times New Roman"/>
          <w:sz w:val="24"/>
          <w:szCs w:val="24"/>
        </w:rPr>
        <w:t>„Пазар на производител"</w:t>
      </w:r>
      <w:r w:rsidRPr="00851F2F">
        <w:rPr>
          <w:rFonts w:ascii="Times New Roman" w:hAnsi="Times New Roman" w:cs="Times New Roman"/>
          <w:color w:val="000000"/>
          <w:sz w:val="24"/>
          <w:szCs w:val="24"/>
        </w:rPr>
        <w:t xml:space="preserve"> е място по смисъла на Закона за стоковите борси и тържищата.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35.</w:t>
      </w:r>
      <w:r w:rsidRPr="00851F2F">
        <w:rPr>
          <w:rStyle w:val="ldef2"/>
          <w:rFonts w:ascii="Times New Roman" w:hAnsi="Times New Roman"/>
          <w:sz w:val="24"/>
          <w:szCs w:val="24"/>
        </w:rPr>
        <w:t>„Полезна топлоенергия"</w:t>
      </w:r>
      <w:r w:rsidRPr="00851F2F">
        <w:rPr>
          <w:rFonts w:ascii="Times New Roman" w:hAnsi="Times New Roman" w:cs="Times New Roman"/>
          <w:color w:val="000000"/>
          <w:sz w:val="24"/>
          <w:szCs w:val="24"/>
        </w:rPr>
        <w:t xml:space="preserve"> е понятие по смисъла на Директива 2004/8/ЕО на Европейския парламент и на Съвета от 11 февруари 2004 г. относно насърчаване на комбинираното производство на енергия, основаващо се на търсенето на полезна топлоенергия във вътрешния енергиен пазар и за изменение на Директива 92/42/ЕИО.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36.</w:t>
      </w:r>
      <w:r w:rsidRPr="00851F2F">
        <w:rPr>
          <w:rFonts w:ascii="Times New Roman" w:hAnsi="Times New Roman" w:cs="Times New Roman"/>
          <w:color w:val="FF0000"/>
          <w:sz w:val="24"/>
          <w:szCs w:val="24"/>
        </w:rPr>
        <w:t>Подготовката на продукцията за продажба</w:t>
      </w:r>
      <w:r w:rsidRPr="00851F2F">
        <w:rPr>
          <w:rFonts w:ascii="Times New Roman" w:hAnsi="Times New Roman" w:cs="Times New Roman"/>
          <w:color w:val="000000"/>
          <w:sz w:val="24"/>
          <w:szCs w:val="24"/>
        </w:rPr>
        <w:t xml:space="preserve"> включва една или комбинация от дейности, свързани с почистването, подготовката за съхранение, съхранението, сортирането, маркирането, опаковането и транспортирането на земеделски продукти.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37.</w:t>
      </w:r>
      <w:r w:rsidRPr="00851F2F">
        <w:rPr>
          <w:rStyle w:val="ldef2"/>
          <w:rFonts w:ascii="Times New Roman" w:hAnsi="Times New Roman"/>
          <w:sz w:val="24"/>
          <w:szCs w:val="24"/>
        </w:rPr>
        <w:t>„Ползвател"</w:t>
      </w:r>
      <w:r w:rsidRPr="00851F2F">
        <w:rPr>
          <w:rFonts w:ascii="Times New Roman" w:hAnsi="Times New Roman" w:cs="Times New Roman"/>
          <w:color w:val="000000"/>
          <w:sz w:val="24"/>
          <w:szCs w:val="24"/>
        </w:rPr>
        <w:t xml:space="preserve"> е лице, на което е одобрена и/или изплатена финансова помощ по ПРСР 2014 - 2020 г.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38.</w:t>
      </w:r>
      <w:r w:rsidRPr="00851F2F">
        <w:rPr>
          <w:rStyle w:val="ldef2"/>
          <w:rFonts w:ascii="Times New Roman" w:hAnsi="Times New Roman"/>
          <w:sz w:val="24"/>
          <w:szCs w:val="24"/>
        </w:rPr>
        <w:t>„Преработка на селскостопански продукти"</w:t>
      </w:r>
      <w:r w:rsidRPr="00851F2F">
        <w:rPr>
          <w:rFonts w:ascii="Times New Roman" w:hAnsi="Times New Roman" w:cs="Times New Roman"/>
          <w:color w:val="000000"/>
          <w:sz w:val="24"/>
          <w:szCs w:val="24"/>
        </w:rPr>
        <w:t xml:space="preserve"> е всяко обработване и технологично въздействие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39.</w:t>
      </w:r>
      <w:r w:rsidRPr="00851F2F">
        <w:rPr>
          <w:rStyle w:val="ldef2"/>
          <w:rFonts w:ascii="Times New Roman" w:hAnsi="Times New Roman"/>
          <w:sz w:val="24"/>
          <w:szCs w:val="24"/>
        </w:rPr>
        <w:t>„Принос в натура"</w:t>
      </w:r>
      <w:r w:rsidRPr="00851F2F">
        <w:rPr>
          <w:rFonts w:ascii="Times New Roman" w:hAnsi="Times New Roman" w:cs="Times New Roman"/>
          <w:color w:val="000000"/>
          <w:sz w:val="24"/>
          <w:szCs w:val="24"/>
        </w:rPr>
        <w:t xml:space="preserve"> е 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lastRenderedPageBreak/>
        <w:t>40.</w:t>
      </w:r>
      <w:r w:rsidRPr="00851F2F">
        <w:rPr>
          <w:rStyle w:val="ldef2"/>
          <w:rFonts w:ascii="Times New Roman" w:hAnsi="Times New Roman"/>
          <w:sz w:val="24"/>
          <w:szCs w:val="24"/>
        </w:rPr>
        <w:t>„Продукти, имитиращи или заместващи мляко и/или млечни произведения"</w:t>
      </w:r>
      <w:r w:rsidRPr="00851F2F">
        <w:rPr>
          <w:rFonts w:ascii="Times New Roman" w:hAnsi="Times New Roman" w:cs="Times New Roman"/>
          <w:color w:val="000000"/>
          <w:sz w:val="24"/>
          <w:szCs w:val="24"/>
        </w:rPr>
        <w:t xml:space="preserve"> са продукти, които могат да бъдат взети за мляко и/или млечни произведения, но чийто състав се различава от тези произведения по това, че съдържа мазнини и/или протеини от немлечен произход със или без протеин, получен от мляко („Продукти, различни от млечни произведения", както са посочени в чл. 3, параграф 2 от Регламент (ЕИО) № 1898/87 на Съвета от 2 юли 1987 г. относно закрила на наименованията, използвани в търговията с мляко и млечни продукти (ОВ, L 182 от 3 юли 1987 г.).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41.</w:t>
      </w:r>
      <w:r w:rsidRPr="00851F2F">
        <w:rPr>
          <w:rStyle w:val="ldef2"/>
          <w:rFonts w:ascii="Times New Roman" w:hAnsi="Times New Roman"/>
          <w:sz w:val="24"/>
          <w:szCs w:val="24"/>
        </w:rPr>
        <w:t>„Продукти, наподобяващи или заместващи пчелен мед и/или пчелни продукти"</w:t>
      </w:r>
      <w:r w:rsidRPr="00851F2F">
        <w:rPr>
          <w:rFonts w:ascii="Times New Roman" w:hAnsi="Times New Roman" w:cs="Times New Roman"/>
          <w:color w:val="000000"/>
          <w:sz w:val="24"/>
          <w:szCs w:val="24"/>
        </w:rPr>
        <w:t xml:space="preserve"> са такива по смисъла на Закона за пчеларството.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42.</w:t>
      </w:r>
      <w:r w:rsidRPr="00851F2F">
        <w:rPr>
          <w:rStyle w:val="ldef2"/>
          <w:rFonts w:ascii="Times New Roman" w:hAnsi="Times New Roman"/>
          <w:sz w:val="24"/>
          <w:szCs w:val="24"/>
        </w:rPr>
        <w:t>„Проверка на място"</w:t>
      </w:r>
      <w:r w:rsidRPr="00851F2F">
        <w:rPr>
          <w:rFonts w:ascii="Times New Roman" w:hAnsi="Times New Roman" w:cs="Times New Roman"/>
          <w:color w:val="000000"/>
          <w:sz w:val="24"/>
          <w:szCs w:val="24"/>
        </w:rPr>
        <w:t xml:space="preserve"> е проверка по смисъла на Регламент (ЕС) № 809/2014.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43.</w:t>
      </w:r>
      <w:r w:rsidRPr="00851F2F">
        <w:rPr>
          <w:rStyle w:val="ldef2"/>
          <w:rFonts w:ascii="Times New Roman" w:hAnsi="Times New Roman"/>
          <w:sz w:val="24"/>
          <w:szCs w:val="24"/>
        </w:rPr>
        <w:t>„Проект"</w:t>
      </w:r>
      <w:r w:rsidRPr="00851F2F">
        <w:rPr>
          <w:rFonts w:ascii="Times New Roman" w:hAnsi="Times New Roman" w:cs="Times New Roman"/>
          <w:color w:val="000000"/>
          <w:sz w:val="24"/>
          <w:szCs w:val="24"/>
        </w:rPr>
        <w:t xml:space="preserve"> е заявление за подпомагане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44.</w:t>
      </w:r>
      <w:r w:rsidRPr="00851F2F">
        <w:rPr>
          <w:rStyle w:val="ldef2"/>
          <w:rFonts w:ascii="Times New Roman" w:hAnsi="Times New Roman"/>
          <w:sz w:val="24"/>
          <w:szCs w:val="24"/>
        </w:rPr>
        <w:t>„Публична финансова помощ"</w:t>
      </w:r>
      <w:r w:rsidRPr="00851F2F">
        <w:rPr>
          <w:rFonts w:ascii="Times New Roman" w:hAnsi="Times New Roman" w:cs="Times New Roman"/>
          <w:color w:val="000000"/>
          <w:sz w:val="24"/>
          <w:szCs w:val="24"/>
        </w:rPr>
        <w:t xml:space="preserve">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ще се разглежда като обществен дял.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45.</w:t>
      </w:r>
      <w:r w:rsidRPr="00851F2F">
        <w:rPr>
          <w:rFonts w:ascii="Times New Roman" w:hAnsi="Times New Roman" w:cs="Times New Roman"/>
          <w:color w:val="000000"/>
          <w:sz w:val="24"/>
          <w:szCs w:val="24"/>
        </w:rPr>
        <w:t xml:space="preserve"> (Изм. - ДВ, бр. 69 от 2016 г., в сила от 02.09.2016 г.) </w:t>
      </w:r>
      <w:r w:rsidRPr="00851F2F">
        <w:rPr>
          <w:rStyle w:val="ldef2"/>
          <w:rFonts w:ascii="Times New Roman" w:hAnsi="Times New Roman"/>
          <w:sz w:val="24"/>
          <w:szCs w:val="24"/>
        </w:rPr>
        <w:t>„Първично селскостопанско производство"</w:t>
      </w:r>
      <w:r w:rsidRPr="00851F2F">
        <w:rPr>
          <w:rFonts w:ascii="Times New Roman" w:hAnsi="Times New Roman" w:cs="Times New Roman"/>
          <w:color w:val="000000"/>
          <w:sz w:val="24"/>
          <w:szCs w:val="24"/>
        </w:rPr>
        <w:t xml:space="preserve"> е производство на растителните и животинските продукти, изброени в Приложение № I по чл. 38 от Договора за функционирането на Европейския съюз, без да се извършват никакви по-нататъшни операции, с които се променя естеството на тези продукти.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46.</w:t>
      </w:r>
      <w:r w:rsidRPr="00851F2F">
        <w:rPr>
          <w:rStyle w:val="ldef2"/>
          <w:rFonts w:ascii="Times New Roman" w:hAnsi="Times New Roman"/>
          <w:sz w:val="24"/>
          <w:szCs w:val="24"/>
        </w:rPr>
        <w:t>„Разходи за консултантски услуги, свързани с подготовка и управление на проекта"</w:t>
      </w:r>
      <w:r w:rsidRPr="00851F2F">
        <w:rPr>
          <w:rFonts w:ascii="Times New Roman" w:hAnsi="Times New Roman" w:cs="Times New Roman"/>
          <w:color w:val="000000"/>
          <w:sz w:val="24"/>
          <w:szCs w:val="24"/>
        </w:rPr>
        <w:t xml:space="preserve"> са разходи, извършени преди подаване на заявлението за подпомагане и такива по време на изпълнение на проекта, които задължително включват подготовка на заявление за подпомагане, изработка на бизнес план, анализ за икономическа устойчивост на проекта и подготовка на заявки за плащане, включително отчитане и управление на проекта.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47.</w:t>
      </w:r>
      <w:r w:rsidRPr="00851F2F">
        <w:rPr>
          <w:rStyle w:val="ldef2"/>
          <w:rFonts w:ascii="Times New Roman" w:hAnsi="Times New Roman"/>
          <w:sz w:val="24"/>
          <w:szCs w:val="24"/>
        </w:rPr>
        <w:t>„Разходи за предпроектно проучване"</w:t>
      </w:r>
      <w:r w:rsidRPr="00851F2F">
        <w:rPr>
          <w:rFonts w:ascii="Times New Roman" w:hAnsi="Times New Roman" w:cs="Times New Roman"/>
          <w:color w:val="000000"/>
          <w:sz w:val="24"/>
          <w:szCs w:val="24"/>
        </w:rPr>
        <w:t xml:space="preserve"> са разходите за анализите по чл. 30, ал. 1, т. 11, становища и доклади, изготвени от правоспособни лица и представени от кандидата за доказване на техническа осъществимост на проекта, и доклади за екологична устойчивост на проекта.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48.</w:t>
      </w:r>
      <w:r w:rsidRPr="00851F2F">
        <w:rPr>
          <w:rStyle w:val="ldef2"/>
          <w:rFonts w:ascii="Times New Roman" w:hAnsi="Times New Roman"/>
          <w:sz w:val="24"/>
          <w:szCs w:val="24"/>
        </w:rPr>
        <w:t>„Разходи за инвестиции за обикновена подмяна"</w:t>
      </w:r>
      <w:r w:rsidRPr="00851F2F">
        <w:rPr>
          <w:rFonts w:ascii="Times New Roman" w:hAnsi="Times New Roman" w:cs="Times New Roman"/>
          <w:color w:val="000000"/>
          <w:sz w:val="24"/>
          <w:szCs w:val="24"/>
        </w:rPr>
        <w:t xml:space="preserve"> са разходи за замяна на активи, които не водят до подобряване на цялостната дейност на кандидата.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49.</w:t>
      </w:r>
      <w:r w:rsidRPr="00851F2F">
        <w:rPr>
          <w:rStyle w:val="ldef2"/>
          <w:rFonts w:ascii="Times New Roman" w:hAnsi="Times New Roman"/>
          <w:sz w:val="24"/>
          <w:szCs w:val="24"/>
        </w:rPr>
        <w:t>„Рефинансиране на лихви"</w:t>
      </w:r>
      <w:r w:rsidRPr="00851F2F">
        <w:rPr>
          <w:rFonts w:ascii="Times New Roman" w:hAnsi="Times New Roman" w:cs="Times New Roman"/>
          <w:color w:val="000000"/>
          <w:sz w:val="24"/>
          <w:szCs w:val="24"/>
        </w:rPr>
        <w:t xml:space="preserve"> е възстановяване на извършените разходи за лихви по заеми.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lastRenderedPageBreak/>
        <w:t>50.</w:t>
      </w:r>
      <w:r w:rsidRPr="00851F2F">
        <w:rPr>
          <w:rStyle w:val="ldef2"/>
          <w:rFonts w:ascii="Times New Roman" w:hAnsi="Times New Roman"/>
          <w:sz w:val="24"/>
          <w:szCs w:val="24"/>
        </w:rPr>
        <w:t>„Референтни разходи"</w:t>
      </w:r>
      <w:r w:rsidRPr="00851F2F">
        <w:rPr>
          <w:rFonts w:ascii="Times New Roman" w:hAnsi="Times New Roman" w:cs="Times New Roman"/>
          <w:color w:val="000000"/>
          <w:sz w:val="24"/>
          <w:szCs w:val="24"/>
        </w:rPr>
        <w:t xml:space="preserve"> са цени и пределни стойности, ползвани от РА за сравняване при определяне основателността на разходите за различни инвестиции.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51.</w:t>
      </w:r>
      <w:r w:rsidRPr="00851F2F">
        <w:rPr>
          <w:rStyle w:val="ldef2"/>
          <w:rFonts w:ascii="Times New Roman" w:hAnsi="Times New Roman"/>
          <w:sz w:val="24"/>
          <w:szCs w:val="24"/>
        </w:rPr>
        <w:t>„Селскостопански продукти"</w:t>
      </w:r>
      <w:r w:rsidRPr="00851F2F">
        <w:rPr>
          <w:rFonts w:ascii="Times New Roman" w:hAnsi="Times New Roman" w:cs="Times New Roman"/>
          <w:color w:val="000000"/>
          <w:sz w:val="24"/>
          <w:szCs w:val="24"/>
        </w:rPr>
        <w:t xml:space="preserve"> са продуктите, изброени в Приложение № I от Договора, с изключение на продуктите от риболов и аквакултури,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354/1 от 28 декември 2013 г.).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52.</w:t>
      </w:r>
      <w:r w:rsidRPr="00851F2F">
        <w:rPr>
          <w:rStyle w:val="ldef2"/>
          <w:rFonts w:ascii="Times New Roman" w:hAnsi="Times New Roman"/>
          <w:sz w:val="24"/>
          <w:szCs w:val="24"/>
        </w:rPr>
        <w:t>„Специализирани транспортни средства"</w:t>
      </w:r>
      <w:r w:rsidRPr="00851F2F">
        <w:rPr>
          <w:rFonts w:ascii="Times New Roman" w:hAnsi="Times New Roman" w:cs="Times New Roman"/>
          <w:color w:val="000000"/>
          <w:sz w:val="24"/>
          <w:szCs w:val="24"/>
        </w:rPr>
        <w:t xml:space="preserve"> са транспортни средства с постоянно монтирана апаратура, съоръжения или машини, които не позволяват използването им за други цели.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53.</w:t>
      </w:r>
      <w:r w:rsidRPr="00851F2F">
        <w:rPr>
          <w:rStyle w:val="ldef2"/>
          <w:rFonts w:ascii="Times New Roman" w:hAnsi="Times New Roman"/>
          <w:sz w:val="24"/>
          <w:szCs w:val="24"/>
        </w:rPr>
        <w:t>„Стандартен производствен обем"</w:t>
      </w:r>
      <w:r w:rsidRPr="00851F2F">
        <w:rPr>
          <w:rFonts w:ascii="Times New Roman" w:hAnsi="Times New Roman" w:cs="Times New Roman"/>
          <w:color w:val="000000"/>
          <w:sz w:val="24"/>
          <w:szCs w:val="24"/>
        </w:rPr>
        <w:t xml:space="preserve"> е стойността на продукцията, която отговаря на средната стойност за даден район за всеки един земеделски продукт, изчислена в евро по таблица съгласно приложение № 15.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54.</w:t>
      </w:r>
      <w:r w:rsidRPr="00851F2F">
        <w:rPr>
          <w:rStyle w:val="ldef2"/>
          <w:rFonts w:ascii="Times New Roman" w:hAnsi="Times New Roman"/>
          <w:sz w:val="24"/>
          <w:szCs w:val="24"/>
        </w:rPr>
        <w:t>„Схеми за директно подпомагане"</w:t>
      </w:r>
      <w:r w:rsidRPr="00851F2F">
        <w:rPr>
          <w:rFonts w:ascii="Times New Roman" w:hAnsi="Times New Roman" w:cs="Times New Roman"/>
          <w:color w:val="000000"/>
          <w:sz w:val="24"/>
          <w:szCs w:val="24"/>
        </w:rPr>
        <w:t xml:space="preserve"> са правилата за предоставяне на финансова помощ, уредени в Регламент (ЕС) № 1307/2013 на Европейския парламент и на Съвета от 17 декември 2013 г.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(ЕО) № 637/2008 на Съвета и Регламент (ЕО) № 73/2009 на Съвета (ОВ, L 347/608 от 20 декември 2013 г.).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55.</w:t>
      </w:r>
      <w:r w:rsidRPr="00851F2F">
        <w:rPr>
          <w:rStyle w:val="ldef2"/>
          <w:rFonts w:ascii="Times New Roman" w:hAnsi="Times New Roman"/>
          <w:sz w:val="24"/>
          <w:szCs w:val="24"/>
        </w:rPr>
        <w:t>„Съпоставими оферти"</w:t>
      </w:r>
      <w:r w:rsidRPr="00851F2F">
        <w:rPr>
          <w:rFonts w:ascii="Times New Roman" w:hAnsi="Times New Roman" w:cs="Times New Roman"/>
          <w:color w:val="000000"/>
          <w:sz w:val="24"/>
          <w:szCs w:val="24"/>
        </w:rPr>
        <w:t xml:space="preserve"> са оферти, които отговарят на запитването за оферта на кандидата и съдържат: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а)</w:t>
      </w:r>
      <w:r w:rsidRPr="00851F2F">
        <w:rPr>
          <w:rFonts w:ascii="Times New Roman" w:hAnsi="Times New Roman" w:cs="Times New Roman"/>
          <w:color w:val="000000"/>
          <w:sz w:val="24"/>
          <w:szCs w:val="24"/>
        </w:rPr>
        <w:t xml:space="preserve"> еднотипни основни технически характеристики - в случаите, когато се кандидатства за разходи за закупуване на машини и земеделска техника;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б)</w:t>
      </w:r>
      <w:r w:rsidRPr="00851F2F">
        <w:rPr>
          <w:rFonts w:ascii="Times New Roman" w:hAnsi="Times New Roman" w:cs="Times New Roman"/>
          <w:color w:val="000000"/>
          <w:sz w:val="24"/>
          <w:szCs w:val="24"/>
        </w:rPr>
        <w:t xml:space="preserve"> общ капацитет на оборудването -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в)</w:t>
      </w:r>
      <w:r w:rsidRPr="00851F2F">
        <w:rPr>
          <w:rFonts w:ascii="Times New Roman" w:hAnsi="Times New Roman" w:cs="Times New Roman"/>
          <w:color w:val="000000"/>
          <w:sz w:val="24"/>
          <w:szCs w:val="24"/>
        </w:rPr>
        <w:t xml:space="preserve"> количествено-стойностни сметки - в случаите, когато се кандидатства за разходи за извършване на строително-монтажни работи.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56.</w:t>
      </w:r>
      <w:r w:rsidRPr="00851F2F">
        <w:rPr>
          <w:rStyle w:val="ldef2"/>
          <w:rFonts w:ascii="Times New Roman" w:hAnsi="Times New Roman"/>
          <w:sz w:val="24"/>
          <w:szCs w:val="24"/>
        </w:rPr>
        <w:t>„Създаване на работни места"</w:t>
      </w:r>
      <w:r w:rsidRPr="00851F2F">
        <w:rPr>
          <w:rFonts w:ascii="Times New Roman" w:hAnsi="Times New Roman" w:cs="Times New Roman"/>
          <w:color w:val="000000"/>
          <w:sz w:val="24"/>
          <w:szCs w:val="24"/>
        </w:rPr>
        <w:t xml:space="preserve"> е нетното увеличение на броя на служителите в съответното предприятие в сравнение със средния им брой през предходните 12 месеца, след като от номиналния брой създадени работни места бъдат приспаднати изгубените през този период работни места.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57.</w:t>
      </w:r>
      <w:r w:rsidRPr="00851F2F">
        <w:rPr>
          <w:rStyle w:val="ldef2"/>
          <w:rFonts w:ascii="Times New Roman" w:hAnsi="Times New Roman"/>
          <w:sz w:val="24"/>
          <w:szCs w:val="24"/>
        </w:rPr>
        <w:t>„Технологично въздействие"</w:t>
      </w:r>
      <w:r w:rsidRPr="00851F2F">
        <w:rPr>
          <w:rFonts w:ascii="Times New Roman" w:hAnsi="Times New Roman" w:cs="Times New Roman"/>
          <w:color w:val="000000"/>
          <w:sz w:val="24"/>
          <w:szCs w:val="24"/>
        </w:rPr>
        <w:t xml:space="preserve"> е онази част от производствения процес, при която има пряко преобразуване на свойствата или качественото състояние на първоначалния продукт. </w:t>
      </w:r>
    </w:p>
    <w:p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lastRenderedPageBreak/>
        <w:t>58.</w:t>
      </w:r>
      <w:r w:rsidRPr="00851F2F">
        <w:rPr>
          <w:rStyle w:val="ldef2"/>
          <w:rFonts w:ascii="Times New Roman" w:hAnsi="Times New Roman"/>
          <w:sz w:val="24"/>
          <w:szCs w:val="24"/>
        </w:rPr>
        <w:t xml:space="preserve">„Уникален </w:t>
      </w:r>
      <w:r w:rsidR="00712AB6">
        <w:rPr>
          <w:rStyle w:val="ldef2"/>
          <w:rFonts w:ascii="Times New Roman" w:hAnsi="Times New Roman"/>
          <w:sz w:val="24"/>
          <w:szCs w:val="24"/>
        </w:rPr>
        <w:t>регистр</w:t>
      </w:r>
      <w:r w:rsidRPr="00851F2F">
        <w:rPr>
          <w:rStyle w:val="ldef2"/>
          <w:rFonts w:ascii="Times New Roman" w:hAnsi="Times New Roman"/>
          <w:sz w:val="24"/>
          <w:szCs w:val="24"/>
        </w:rPr>
        <w:t>ационен номер"</w:t>
      </w:r>
      <w:r w:rsidRPr="00851F2F">
        <w:rPr>
          <w:rFonts w:ascii="Times New Roman" w:hAnsi="Times New Roman" w:cs="Times New Roman"/>
          <w:color w:val="000000"/>
          <w:sz w:val="24"/>
          <w:szCs w:val="24"/>
        </w:rPr>
        <w:t xml:space="preserve"> е регистрационен номер, който се издава на кандидата от служител в РА след положително становище от извършен преглед на документите към заявлението за подпомагане. </w:t>
      </w:r>
    </w:p>
    <w:p w:rsidR="00D13D48" w:rsidRPr="00851F2F" w:rsidRDefault="00851F2F" w:rsidP="00851F2F">
      <w:pPr>
        <w:rPr>
          <w:rFonts w:ascii="Times New Roman" w:hAnsi="Times New Roman" w:cs="Times New Roman"/>
          <w:sz w:val="24"/>
          <w:szCs w:val="24"/>
        </w:rPr>
      </w:pPr>
      <w:r w:rsidRPr="00851F2F">
        <w:rPr>
          <w:rStyle w:val="alcapt2"/>
          <w:rFonts w:ascii="Times New Roman" w:hAnsi="Times New Roman"/>
          <w:color w:val="000000"/>
          <w:sz w:val="24"/>
          <w:szCs w:val="24"/>
        </w:rPr>
        <w:t>59.</w:t>
      </w:r>
      <w:r w:rsidRPr="00851F2F">
        <w:rPr>
          <w:rStyle w:val="ldef2"/>
          <w:rFonts w:ascii="Times New Roman" w:hAnsi="Times New Roman"/>
          <w:sz w:val="24"/>
          <w:szCs w:val="24"/>
        </w:rPr>
        <w:t>„Частичен отказ за финансиране"</w:t>
      </w:r>
      <w:r w:rsidRPr="00851F2F">
        <w:rPr>
          <w:rFonts w:ascii="Times New Roman" w:hAnsi="Times New Roman" w:cs="Times New Roman"/>
          <w:color w:val="000000"/>
          <w:sz w:val="24"/>
          <w:szCs w:val="24"/>
        </w:rPr>
        <w:t xml:space="preserve"> е отказът да се финансират част от заявените разходи на кандидата, които са включени в проект, одобрен за подпомагане по ПРСР 2014 - 2020 г.</w:t>
      </w:r>
    </w:p>
    <w:sectPr w:rsidR="00D13D48" w:rsidRPr="00851F2F" w:rsidSect="00851F2F">
      <w:pgSz w:w="11906" w:h="16838"/>
      <w:pgMar w:top="1417" w:right="849"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1F2F"/>
    <w:rsid w:val="00024EFA"/>
    <w:rsid w:val="00080BE8"/>
    <w:rsid w:val="00184AD3"/>
    <w:rsid w:val="002844CE"/>
    <w:rsid w:val="004A35BE"/>
    <w:rsid w:val="004A51A7"/>
    <w:rsid w:val="004F163F"/>
    <w:rsid w:val="00510D43"/>
    <w:rsid w:val="005F1A51"/>
    <w:rsid w:val="00712AB6"/>
    <w:rsid w:val="0076171E"/>
    <w:rsid w:val="00851F2F"/>
    <w:rsid w:val="00861E8E"/>
    <w:rsid w:val="00975288"/>
    <w:rsid w:val="00B45181"/>
    <w:rsid w:val="00C9597E"/>
    <w:rsid w:val="00D13D48"/>
    <w:rsid w:val="00F53BCC"/>
    <w:rsid w:val="00F9720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F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lcapt2">
    <w:name w:val="al_capt2"/>
    <w:rsid w:val="00851F2F"/>
    <w:rPr>
      <w:rFonts w:cs="Times New Roman"/>
      <w:i/>
      <w:iCs/>
    </w:rPr>
  </w:style>
  <w:style w:type="character" w:customStyle="1" w:styleId="ldef2">
    <w:name w:val="ldef2"/>
    <w:rsid w:val="00851F2F"/>
    <w:rPr>
      <w:rFonts w:cs="Times New Roman"/>
      <w:color w:val="FF0000"/>
    </w:rPr>
  </w:style>
  <w:style w:type="paragraph" w:styleId="a3">
    <w:name w:val="Balloon Text"/>
    <w:basedOn w:val="a"/>
    <w:link w:val="a4"/>
    <w:uiPriority w:val="99"/>
    <w:semiHidden/>
    <w:unhideWhenUsed/>
    <w:rsid w:val="004A51A7"/>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4A51A7"/>
    <w:rPr>
      <w:rFonts w:ascii="Tahoma" w:hAnsi="Tahoma" w:cs="Tahoma"/>
      <w:sz w:val="16"/>
      <w:szCs w:val="16"/>
    </w:rPr>
  </w:style>
  <w:style w:type="paragraph" w:styleId="a5">
    <w:name w:val="header"/>
    <w:basedOn w:val="a"/>
    <w:link w:val="a6"/>
    <w:uiPriority w:val="99"/>
    <w:semiHidden/>
    <w:unhideWhenUsed/>
    <w:rsid w:val="004F163F"/>
    <w:pPr>
      <w:tabs>
        <w:tab w:val="center" w:pos="4536"/>
        <w:tab w:val="right" w:pos="9072"/>
      </w:tabs>
      <w:spacing w:after="0" w:line="240" w:lineRule="auto"/>
    </w:pPr>
    <w:rPr>
      <w:rFonts w:ascii="Times New Roman" w:hAnsi="Times New Roman"/>
      <w:sz w:val="24"/>
    </w:rPr>
  </w:style>
  <w:style w:type="character" w:customStyle="1" w:styleId="a6">
    <w:name w:val="Горен колонтитул Знак"/>
    <w:basedOn w:val="a0"/>
    <w:link w:val="a5"/>
    <w:uiPriority w:val="99"/>
    <w:semiHidden/>
    <w:rsid w:val="004F163F"/>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1FE1C-54C8-4D98-BFF4-6DF73657F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10</Pages>
  <Words>3442</Words>
  <Characters>19626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2018-05-11T15:55:00Z</dcterms:created>
  <dcterms:modified xsi:type="dcterms:W3CDTF">2018-08-24T06:59:00Z</dcterms:modified>
</cp:coreProperties>
</file>